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26"/>
      </w:tblGrid>
      <w:tr>
        <w:trPr>
          <w:trHeight w:val="411"/>
        </w:trPr>
        <w:tc>
          <w:tcPr>
            <w:tcW w:w="9726" w:type="dxa"/>
          </w:tcPr>
          <w:p>
            <w:pPr>
              <w:spacing w:after="0"/>
              <w:jc w:val="center"/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b/>
                <w:sz w:val="36"/>
                <w:szCs w:val="36"/>
              </w:rPr>
              <w:t>Cadre de réponse technique</w:t>
            </w:r>
          </w:p>
        </w:tc>
      </w:tr>
      <w:tr>
        <w:trPr>
          <w:trHeight w:val="2963"/>
        </w:trPr>
        <w:tc>
          <w:tcPr>
            <w:tcW w:w="9726" w:type="dxa"/>
          </w:tcPr>
          <w:p>
            <w:pPr>
              <w:pStyle w:val="Default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Critères techniques :</w:t>
            </w:r>
          </w:p>
          <w:p>
            <w:pPr>
              <w:pStyle w:val="Default"/>
              <w:jc w:val="both"/>
              <w:rPr>
                <w:b/>
                <w:sz w:val="18"/>
                <w:szCs w:val="18"/>
              </w:rPr>
            </w:pPr>
          </w:p>
          <w:p>
            <w:pPr>
              <w:pStyle w:val="Default"/>
              <w:jc w:val="both"/>
              <w:rPr>
                <w:iCs/>
                <w:sz w:val="18"/>
                <w:szCs w:val="18"/>
              </w:rPr>
            </w:pPr>
            <w:r>
              <w:rPr>
                <w:b/>
                <w:sz w:val="18"/>
                <w:szCs w:val="18"/>
                <w:u w:val="single"/>
              </w:rPr>
              <w:t>Organisation et méthodologie mises en place pour garantir la bonne exécution des prestations</w:t>
            </w:r>
            <w:r>
              <w:rPr>
                <w:iCs/>
                <w:sz w:val="18"/>
                <w:szCs w:val="18"/>
              </w:rPr>
              <w:t xml:space="preserve"> </w:t>
            </w:r>
          </w:p>
          <w:p>
            <w:pPr>
              <w:pStyle w:val="Default"/>
              <w:ind w:left="227" w:hanging="227"/>
              <w:jc w:val="both"/>
              <w:rPr>
                <w:iCs/>
                <w:sz w:val="18"/>
                <w:szCs w:val="18"/>
              </w:rPr>
            </w:pPr>
          </w:p>
          <w:p>
            <w:pPr>
              <w:pStyle w:val="Default"/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Le soumissionnaire fournit toutes les informations utiles sur l’organisation dédiée à la prestation</w:t>
            </w:r>
            <w:r>
              <w:rPr>
                <w:i/>
                <w:iCs/>
                <w:sz w:val="18"/>
                <w:szCs w:val="18"/>
              </w:rPr>
              <w:t>.</w:t>
            </w:r>
          </w:p>
          <w:p>
            <w:pPr>
              <w:pStyle w:val="Default"/>
              <w:jc w:val="both"/>
              <w:rPr>
                <w:iCs/>
                <w:color w:val="auto"/>
                <w:sz w:val="18"/>
                <w:szCs w:val="18"/>
              </w:rPr>
            </w:pPr>
          </w:p>
          <w:p>
            <w:pPr>
              <w:pStyle w:val="Default"/>
              <w:numPr>
                <w:ilvl w:val="0"/>
                <w:numId w:val="27"/>
              </w:numPr>
              <w:jc w:val="both"/>
              <w:rPr>
                <w:iCs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  <w:u w:val="single"/>
              </w:rPr>
              <w:t>SCT1.1 – Description du process</w:t>
            </w:r>
          </w:p>
          <w:p>
            <w:pPr>
              <w:pStyle w:val="Default"/>
              <w:ind w:left="720"/>
              <w:jc w:val="both"/>
              <w:rPr>
                <w:iCs/>
                <w:sz w:val="18"/>
                <w:szCs w:val="18"/>
              </w:rPr>
            </w:pPr>
          </w:p>
          <w:p>
            <w:pPr>
              <w:pStyle w:val="Default"/>
              <w:numPr>
                <w:ilvl w:val="0"/>
                <w:numId w:val="28"/>
              </w:numPr>
              <w:spacing w:line="276" w:lineRule="auto"/>
              <w:rPr>
                <w:b/>
                <w:bCs/>
                <w:iCs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Cs/>
                <w:sz w:val="18"/>
                <w:szCs w:val="18"/>
                <w:lang w:eastAsia="fr-FR"/>
              </w:rPr>
              <w:t>Description du process mis en œuvre au sein de la structure pour la réalisation des prestations en vue d'assurer la satisfaction des demandeurs et des bénéficiaires de "CESU Garde d’enfants 0/6 ans" de la demande de titre, jusqu’à l’utilisation de celui-ci en intégrant les éléments d’assistance/de la relation client (Ex : prise de contact facile, amplitudes horaires adaptées pour les agents/usagers des DROM/COM, la qualité des relations usagers proposées).</w:t>
            </w:r>
          </w:p>
          <w:p>
            <w:pPr>
              <w:pStyle w:val="Default"/>
              <w:jc w:val="both"/>
              <w:rPr>
                <w:sz w:val="18"/>
                <w:szCs w:val="18"/>
              </w:rPr>
            </w:pPr>
          </w:p>
        </w:tc>
      </w:tr>
      <w:tr>
        <w:trPr>
          <w:trHeight w:val="1118"/>
        </w:trPr>
        <w:tc>
          <w:tcPr>
            <w:tcW w:w="9726" w:type="dxa"/>
          </w:tcPr>
          <w:p>
            <w:pPr>
              <w:pStyle w:val="Default"/>
              <w:ind w:left="720"/>
              <w:jc w:val="both"/>
              <w:rPr>
                <w:b/>
                <w:color w:val="auto"/>
                <w:sz w:val="18"/>
                <w:szCs w:val="18"/>
                <w:u w:val="single"/>
              </w:rPr>
            </w:pPr>
          </w:p>
          <w:p>
            <w:pPr>
              <w:pStyle w:val="Default"/>
              <w:numPr>
                <w:ilvl w:val="0"/>
                <w:numId w:val="27"/>
              </w:numPr>
              <w:jc w:val="both"/>
              <w:rPr>
                <w:b/>
                <w:color w:val="auto"/>
                <w:sz w:val="18"/>
                <w:szCs w:val="18"/>
                <w:u w:val="single"/>
              </w:rPr>
            </w:pPr>
            <w:r>
              <w:rPr>
                <w:b/>
                <w:color w:val="auto"/>
                <w:sz w:val="18"/>
                <w:szCs w:val="18"/>
                <w:u w:val="single"/>
              </w:rPr>
              <w:t>SCT1.2 – Plan de continuité d’activité</w:t>
            </w:r>
          </w:p>
          <w:p>
            <w:pPr>
              <w:pStyle w:val="Default"/>
              <w:ind w:left="720"/>
              <w:jc w:val="both"/>
              <w:rPr>
                <w:b/>
                <w:color w:val="auto"/>
                <w:sz w:val="18"/>
                <w:szCs w:val="18"/>
                <w:u w:val="single"/>
              </w:rPr>
            </w:pPr>
          </w:p>
          <w:p>
            <w:pPr>
              <w:pStyle w:val="Paragraphedeliste"/>
              <w:numPr>
                <w:ilvl w:val="0"/>
                <w:numId w:val="22"/>
              </w:numPr>
              <w:spacing w:line="276" w:lineRule="auto"/>
              <w:jc w:val="left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fr-FR"/>
              </w:rPr>
              <w:t>Description du plan de continuité d’activité en cas d’interruption de service.</w:t>
            </w:r>
          </w:p>
          <w:p>
            <w:pPr>
              <w:rPr>
                <w:sz w:val="18"/>
                <w:szCs w:val="18"/>
              </w:rPr>
            </w:pPr>
          </w:p>
        </w:tc>
      </w:tr>
      <w:tr>
        <w:trPr>
          <w:trHeight w:val="2827"/>
        </w:trPr>
        <w:tc>
          <w:tcPr>
            <w:tcW w:w="9726" w:type="dxa"/>
          </w:tcPr>
          <w:p>
            <w:pPr>
              <w:pStyle w:val="Default"/>
              <w:ind w:left="720"/>
              <w:jc w:val="both"/>
              <w:rPr>
                <w:b/>
                <w:color w:val="auto"/>
                <w:sz w:val="18"/>
                <w:szCs w:val="18"/>
                <w:u w:val="single"/>
              </w:rPr>
            </w:pPr>
          </w:p>
          <w:p>
            <w:pPr>
              <w:pStyle w:val="Default"/>
              <w:numPr>
                <w:ilvl w:val="0"/>
                <w:numId w:val="27"/>
              </w:numPr>
              <w:jc w:val="both"/>
              <w:rPr>
                <w:b/>
                <w:color w:val="auto"/>
                <w:sz w:val="18"/>
                <w:szCs w:val="18"/>
                <w:u w:val="single"/>
              </w:rPr>
            </w:pPr>
            <w:r>
              <w:rPr>
                <w:b/>
                <w:color w:val="auto"/>
                <w:sz w:val="18"/>
                <w:szCs w:val="18"/>
                <w:u w:val="single"/>
              </w:rPr>
              <w:t xml:space="preserve">SCT1.3 - Délais </w:t>
            </w:r>
          </w:p>
          <w:p>
            <w:pPr>
              <w:pStyle w:val="Default"/>
              <w:ind w:left="720"/>
              <w:jc w:val="both"/>
              <w:rPr>
                <w:b/>
                <w:color w:val="auto"/>
                <w:sz w:val="18"/>
                <w:szCs w:val="18"/>
                <w:u w:val="single"/>
              </w:rPr>
            </w:pPr>
          </w:p>
          <w:p>
            <w:pPr>
              <w:pStyle w:val="Paragraphedeliste"/>
              <w:numPr>
                <w:ilvl w:val="0"/>
                <w:numId w:val="22"/>
              </w:numPr>
              <w:spacing w:line="276" w:lineRule="auto"/>
              <w:jc w:val="left"/>
              <w:rPr>
                <w:rFonts w:ascii="Calibri" w:eastAsia="Times New Roman" w:hAnsi="Calibri" w:cs="Calibri"/>
                <w:bCs/>
                <w:sz w:val="18"/>
                <w:szCs w:val="18"/>
                <w:lang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fr-FR"/>
              </w:rPr>
              <w:t>Délais relatifs à l’information sur le CESU,</w:t>
            </w:r>
          </w:p>
          <w:p>
            <w:pPr>
              <w:pStyle w:val="Paragraphedeliste"/>
              <w:numPr>
                <w:ilvl w:val="0"/>
                <w:numId w:val="22"/>
              </w:numPr>
              <w:spacing w:line="276" w:lineRule="auto"/>
              <w:jc w:val="left"/>
              <w:rPr>
                <w:rFonts w:ascii="Calibri" w:eastAsia="Times New Roman" w:hAnsi="Calibri" w:cs="Calibri"/>
                <w:bCs/>
                <w:sz w:val="18"/>
                <w:szCs w:val="18"/>
                <w:lang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fr-FR"/>
              </w:rPr>
              <w:t xml:space="preserve">Délais d’accusé de réception des demandes de titres, </w:t>
            </w:r>
          </w:p>
          <w:p>
            <w:pPr>
              <w:pStyle w:val="Paragraphedeliste"/>
              <w:numPr>
                <w:ilvl w:val="0"/>
                <w:numId w:val="22"/>
              </w:numPr>
              <w:spacing w:line="276" w:lineRule="auto"/>
              <w:jc w:val="left"/>
              <w:rPr>
                <w:rFonts w:ascii="Calibri" w:eastAsia="Times New Roman" w:hAnsi="Calibri" w:cs="Calibri"/>
                <w:bCs/>
                <w:sz w:val="18"/>
                <w:szCs w:val="18"/>
                <w:lang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fr-FR"/>
              </w:rPr>
              <w:t xml:space="preserve">Délais de notification de l’état des dossiers, </w:t>
            </w:r>
          </w:p>
          <w:p>
            <w:pPr>
              <w:pStyle w:val="Paragraphedeliste"/>
              <w:numPr>
                <w:ilvl w:val="0"/>
                <w:numId w:val="22"/>
              </w:numPr>
              <w:spacing w:line="276" w:lineRule="auto"/>
              <w:jc w:val="left"/>
              <w:rPr>
                <w:rFonts w:ascii="Calibri" w:eastAsia="Times New Roman" w:hAnsi="Calibri" w:cs="Calibri"/>
                <w:bCs/>
                <w:sz w:val="18"/>
                <w:szCs w:val="18"/>
                <w:lang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fr-FR"/>
              </w:rPr>
              <w:t xml:space="preserve">Délais d’instruction des demandes, </w:t>
            </w:r>
          </w:p>
          <w:p>
            <w:pPr>
              <w:pStyle w:val="Paragraphedeliste"/>
              <w:numPr>
                <w:ilvl w:val="0"/>
                <w:numId w:val="22"/>
              </w:numPr>
              <w:spacing w:line="276" w:lineRule="auto"/>
              <w:jc w:val="left"/>
              <w:rPr>
                <w:rFonts w:ascii="Calibri" w:eastAsia="Times New Roman" w:hAnsi="Calibri" w:cs="Calibri"/>
                <w:bCs/>
                <w:sz w:val="18"/>
                <w:szCs w:val="18"/>
                <w:lang w:eastAsia="fr-FR"/>
              </w:rPr>
            </w:pPr>
            <w:r>
              <w:rPr>
                <w:rFonts w:ascii="Calibri" w:eastAsia="Times New Roman" w:hAnsi="Calibri" w:cs="Calibri"/>
                <w:bCs/>
                <w:sz w:val="18"/>
                <w:szCs w:val="18"/>
                <w:lang w:eastAsia="fr-FR"/>
              </w:rPr>
              <w:t>Délais d’accusé et de réponse aux réclamations,</w:t>
            </w:r>
          </w:p>
          <w:p>
            <w:pPr>
              <w:pStyle w:val="Paragraphedeliste"/>
              <w:numPr>
                <w:ilvl w:val="0"/>
                <w:numId w:val="22"/>
              </w:numPr>
              <w:spacing w:line="276" w:lineRule="auto"/>
              <w:jc w:val="left"/>
              <w:rPr>
                <w:rFonts w:ascii="Calibri" w:eastAsia="Times New Roman" w:hAnsi="Calibri" w:cs="Calibri"/>
                <w:bCs/>
                <w:sz w:val="18"/>
                <w:szCs w:val="18"/>
                <w:lang w:eastAsia="fr-FR"/>
              </w:rPr>
            </w:pPr>
            <w:r>
              <w:rPr>
                <w:rFonts w:ascii="Calibri" w:eastAsia="Times New Roman" w:hAnsi="Calibri" w:cs="Calibri"/>
                <w:bCs/>
                <w:sz w:val="18"/>
                <w:szCs w:val="18"/>
                <w:lang w:eastAsia="fr-FR"/>
              </w:rPr>
              <w:t xml:space="preserve">Délais de réponse à une sollicitation ponctuelle DGAFP. </w:t>
            </w:r>
          </w:p>
          <w:p>
            <w:pPr>
              <w:pStyle w:val="Default"/>
              <w:ind w:left="170" w:hanging="170"/>
              <w:jc w:val="both"/>
              <w:rPr>
                <w:b/>
                <w:color w:val="auto"/>
                <w:sz w:val="18"/>
                <w:szCs w:val="18"/>
              </w:rPr>
            </w:pPr>
          </w:p>
        </w:tc>
      </w:tr>
      <w:tr>
        <w:trPr>
          <w:trHeight w:val="2665"/>
        </w:trPr>
        <w:tc>
          <w:tcPr>
            <w:tcW w:w="9726" w:type="dxa"/>
          </w:tcPr>
          <w:p>
            <w:pPr>
              <w:pStyle w:val="Default"/>
              <w:ind w:left="720"/>
              <w:jc w:val="both"/>
              <w:rPr>
                <w:b/>
                <w:color w:val="auto"/>
                <w:sz w:val="18"/>
                <w:szCs w:val="18"/>
                <w:u w:val="single"/>
              </w:rPr>
            </w:pPr>
          </w:p>
          <w:p>
            <w:pPr>
              <w:pStyle w:val="Default"/>
              <w:numPr>
                <w:ilvl w:val="0"/>
                <w:numId w:val="27"/>
              </w:numPr>
              <w:jc w:val="both"/>
              <w:rPr>
                <w:b/>
                <w:color w:val="auto"/>
                <w:sz w:val="18"/>
                <w:szCs w:val="18"/>
                <w:u w:val="single"/>
              </w:rPr>
            </w:pPr>
            <w:r>
              <w:rPr>
                <w:b/>
                <w:color w:val="auto"/>
                <w:sz w:val="18"/>
                <w:szCs w:val="18"/>
                <w:u w:val="single"/>
              </w:rPr>
              <w:t>SCT1.4 – Portail et mise à disposition de données</w:t>
            </w:r>
          </w:p>
          <w:p>
            <w:pPr>
              <w:pStyle w:val="Default"/>
              <w:ind w:left="360"/>
              <w:jc w:val="right"/>
              <w:rPr>
                <w:b/>
                <w:color w:val="auto"/>
                <w:sz w:val="18"/>
                <w:szCs w:val="18"/>
                <w:u w:val="single"/>
              </w:rPr>
            </w:pPr>
          </w:p>
          <w:p>
            <w:pPr>
              <w:pStyle w:val="Paragraphedeliste"/>
              <w:numPr>
                <w:ilvl w:val="0"/>
                <w:numId w:val="22"/>
              </w:numPr>
              <w:spacing w:line="276" w:lineRule="auto"/>
              <w:jc w:val="left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fr-FR"/>
              </w:rPr>
              <w:t>Présentation du portail, d’un outil dédié ergonomique en ligne et des fonctionnalités des profils usagers, gestionnaires, administrateurs. Il doit permettre à la DGAFP de disposer de données de gestion, d’analyse et de dynamisme de la prestation CESU.</w:t>
            </w:r>
          </w:p>
          <w:p>
            <w:pPr>
              <w:pStyle w:val="Paragraphedeliste"/>
              <w:spacing w:line="276" w:lineRule="auto"/>
              <w:ind w:left="1428"/>
              <w:jc w:val="left"/>
              <w:rPr>
                <w:rFonts w:ascii="Calibri" w:eastAsia="Times New Roman" w:hAnsi="Calibri" w:cs="Calibri"/>
                <w:bCs/>
                <w:sz w:val="18"/>
                <w:szCs w:val="18"/>
                <w:lang w:eastAsia="fr-FR"/>
              </w:rPr>
            </w:pPr>
          </w:p>
          <w:p>
            <w:pPr>
              <w:pStyle w:val="Paragraphedeliste"/>
              <w:spacing w:line="276" w:lineRule="auto"/>
              <w:ind w:left="1428"/>
              <w:jc w:val="left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Calibri" w:eastAsia="Times New Roman" w:hAnsi="Calibri" w:cs="Calibri"/>
                <w:bCs/>
                <w:sz w:val="18"/>
                <w:szCs w:val="18"/>
                <w:lang w:eastAsia="fr-FR"/>
              </w:rPr>
              <w:t>Ce critère doit notamment permettre au candidat de montrer qu’il s’inscrit dans une démarche éco-responsable et sécuritaire (les fonctionnalités de l’outil devant limiter l’envoi de pièces lourdes par mail, en respectant des règles d’écoconception, pas plus de trois clics pour accéder à une demande, ergonomie du site internet, …)</w:t>
            </w:r>
          </w:p>
          <w:p>
            <w:pPr>
              <w:pStyle w:val="Default"/>
              <w:jc w:val="both"/>
              <w:rPr>
                <w:b/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 xml:space="preserve"> </w:t>
            </w:r>
          </w:p>
        </w:tc>
      </w:tr>
      <w:tr>
        <w:trPr>
          <w:trHeight w:val="1463"/>
        </w:trPr>
        <w:tc>
          <w:tcPr>
            <w:tcW w:w="9726" w:type="dxa"/>
          </w:tcPr>
          <w:p>
            <w:pPr>
              <w:pStyle w:val="Default"/>
              <w:ind w:left="720"/>
              <w:jc w:val="both"/>
              <w:rPr>
                <w:b/>
                <w:color w:val="auto"/>
                <w:sz w:val="18"/>
                <w:szCs w:val="18"/>
                <w:u w:val="single"/>
              </w:rPr>
            </w:pPr>
          </w:p>
          <w:p>
            <w:pPr>
              <w:pStyle w:val="Default"/>
              <w:numPr>
                <w:ilvl w:val="0"/>
                <w:numId w:val="27"/>
              </w:numPr>
              <w:jc w:val="both"/>
              <w:rPr>
                <w:b/>
                <w:color w:val="auto"/>
                <w:sz w:val="18"/>
                <w:szCs w:val="18"/>
                <w:u w:val="single"/>
              </w:rPr>
            </w:pPr>
            <w:r>
              <w:rPr>
                <w:b/>
                <w:color w:val="auto"/>
                <w:sz w:val="18"/>
                <w:szCs w:val="18"/>
                <w:u w:val="single"/>
              </w:rPr>
              <w:t>SCT1.5 – Plan de progrès et gestion des titres perdus et périmés</w:t>
            </w:r>
          </w:p>
          <w:p>
            <w:pPr>
              <w:pStyle w:val="Default"/>
              <w:jc w:val="both"/>
              <w:rPr>
                <w:rFonts w:ascii="Calibri" w:eastAsia="Times New Roman" w:hAnsi="Calibri" w:cs="Calibri"/>
                <w:b/>
                <w:sz w:val="18"/>
                <w:szCs w:val="18"/>
                <w:u w:val="single"/>
                <w:lang w:eastAsia="fr-FR"/>
              </w:rPr>
            </w:pPr>
          </w:p>
          <w:p>
            <w:pPr>
              <w:pStyle w:val="Paragraphedeliste"/>
              <w:numPr>
                <w:ilvl w:val="0"/>
                <w:numId w:val="22"/>
              </w:numPr>
              <w:jc w:val="left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fr-FR"/>
              </w:rPr>
              <w:t>Plan de progrès et mission de conseil : qualité de la démarche d’accompagnement notamment sur les propositions de simplification, d’amélioration de diffusion au sein des services, de prévention et détection de la fraude.</w:t>
            </w:r>
          </w:p>
          <w:p>
            <w:pPr>
              <w:pStyle w:val="Paragraphedeliste"/>
              <w:ind w:left="1428"/>
              <w:jc w:val="left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fr-FR"/>
              </w:rPr>
            </w:pPr>
          </w:p>
          <w:p>
            <w:pPr>
              <w:pStyle w:val="Paragraphedeliste"/>
              <w:ind w:left="1428"/>
              <w:jc w:val="left"/>
              <w:rPr>
                <w:rFonts w:ascii="Calibri" w:eastAsia="Times New Roman" w:hAnsi="Calibri" w:cs="Calibri"/>
                <w:b/>
                <w:sz w:val="18"/>
                <w:szCs w:val="18"/>
                <w:u w:val="single"/>
                <w:lang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fr-FR"/>
              </w:rPr>
              <w:t>Le titulaire devra décrire la gestion des titres perdus et la gestion des titres périmés.</w:t>
            </w:r>
          </w:p>
        </w:tc>
      </w:tr>
    </w:tbl>
    <w:p/>
    <w:sectPr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tstream Vera Sans">
    <w:altName w:val="Times New Roman"/>
    <w:charset w:val="00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jc w:val="center"/>
      <w:rPr>
        <w:rFonts w:ascii="Marianne" w:hAnsi="Marianne"/>
        <w:b/>
        <w:bCs/>
        <w:sz w:val="18"/>
        <w:szCs w:val="20"/>
      </w:rPr>
    </w:pPr>
    <w:r>
      <w:rPr>
        <w:rFonts w:ascii="Marianne" w:hAnsi="Marianne"/>
        <w:b/>
        <w:bCs/>
        <w:sz w:val="18"/>
        <w:szCs w:val="20"/>
      </w:rPr>
      <w:t xml:space="preserve">ANNEXE AU REGLEMENT DE LA CONSULTATION </w:t>
    </w:r>
  </w:p>
  <w:p>
    <w:pPr>
      <w:jc w:val="center"/>
      <w:rPr>
        <w:rFonts w:ascii="Marianne" w:hAnsi="Marianne"/>
        <w:b/>
        <w:bCs/>
        <w:sz w:val="18"/>
        <w:szCs w:val="20"/>
      </w:rPr>
    </w:pPr>
    <w:r>
      <w:rPr>
        <w:rFonts w:ascii="Marianne" w:hAnsi="Marianne"/>
        <w:b/>
        <w:bCs/>
        <w:sz w:val="18"/>
        <w:szCs w:val="20"/>
        <w:highlight w:val="yellow"/>
      </w:rPr>
      <w:t>DGAFP-5DAS-2024-05 CESU</w:t>
    </w:r>
  </w:p>
  <w:p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B57C7"/>
    <w:multiLevelType w:val="hybridMultilevel"/>
    <w:tmpl w:val="AB9AB6A6"/>
    <w:lvl w:ilvl="0" w:tplc="F72CE548">
      <w:numFmt w:val="bullet"/>
      <w:lvlText w:val="-"/>
      <w:lvlJc w:val="left"/>
      <w:pPr>
        <w:ind w:left="643" w:hanging="360"/>
      </w:pPr>
      <w:rPr>
        <w:rFonts w:ascii="Arial" w:eastAsia="Bitstream Vera San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" w15:restartNumberingAfterBreak="0">
    <w:nsid w:val="08CE7301"/>
    <w:multiLevelType w:val="hybridMultilevel"/>
    <w:tmpl w:val="5A5E397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32A71"/>
    <w:multiLevelType w:val="hybridMultilevel"/>
    <w:tmpl w:val="33A46E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290A9A"/>
    <w:multiLevelType w:val="hybridMultilevel"/>
    <w:tmpl w:val="EDF2249A"/>
    <w:lvl w:ilvl="0" w:tplc="83D282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80A06"/>
    <w:multiLevelType w:val="hybridMultilevel"/>
    <w:tmpl w:val="45CABCC4"/>
    <w:lvl w:ilvl="0" w:tplc="E6B6957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D850F6"/>
    <w:multiLevelType w:val="multilevel"/>
    <w:tmpl w:val="6452007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6" w15:restartNumberingAfterBreak="0">
    <w:nsid w:val="15575662"/>
    <w:multiLevelType w:val="hybridMultilevel"/>
    <w:tmpl w:val="D3D89A40"/>
    <w:lvl w:ilvl="0" w:tplc="EA1CBDE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E2618"/>
    <w:multiLevelType w:val="hybridMultilevel"/>
    <w:tmpl w:val="41ACB4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74084"/>
    <w:multiLevelType w:val="hybridMultilevel"/>
    <w:tmpl w:val="AE7081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451FB6"/>
    <w:multiLevelType w:val="hybridMultilevel"/>
    <w:tmpl w:val="CEFACD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771607"/>
    <w:multiLevelType w:val="hybridMultilevel"/>
    <w:tmpl w:val="2BC22F9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B334C7"/>
    <w:multiLevelType w:val="multilevel"/>
    <w:tmpl w:val="56206B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3CD037A2"/>
    <w:multiLevelType w:val="hybridMultilevel"/>
    <w:tmpl w:val="FA9E3D2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244651"/>
    <w:multiLevelType w:val="multilevel"/>
    <w:tmpl w:val="85E665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4" w15:restartNumberingAfterBreak="0">
    <w:nsid w:val="406C36F8"/>
    <w:multiLevelType w:val="multilevel"/>
    <w:tmpl w:val="254E95F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44B76794"/>
    <w:multiLevelType w:val="multilevel"/>
    <w:tmpl w:val="EC80AA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475A0C91"/>
    <w:multiLevelType w:val="hybridMultilevel"/>
    <w:tmpl w:val="7F4C24B4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4871546C"/>
    <w:multiLevelType w:val="hybridMultilevel"/>
    <w:tmpl w:val="0E8EAD62"/>
    <w:lvl w:ilvl="0" w:tplc="040C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1F19B7"/>
    <w:multiLevelType w:val="hybridMultilevel"/>
    <w:tmpl w:val="662ACFA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FF64D23"/>
    <w:multiLevelType w:val="hybridMultilevel"/>
    <w:tmpl w:val="E99A35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B30993"/>
    <w:multiLevelType w:val="multilevel"/>
    <w:tmpl w:val="C8145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78135C7"/>
    <w:multiLevelType w:val="hybridMultilevel"/>
    <w:tmpl w:val="5EFEBE8C"/>
    <w:lvl w:ilvl="0" w:tplc="F350E7E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0404D4"/>
    <w:multiLevelType w:val="hybridMultilevel"/>
    <w:tmpl w:val="23C81464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683335A5"/>
    <w:multiLevelType w:val="multilevel"/>
    <w:tmpl w:val="08E0C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8EE3A8B"/>
    <w:multiLevelType w:val="hybridMultilevel"/>
    <w:tmpl w:val="5DE0EA5A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CED0A4B"/>
    <w:multiLevelType w:val="multilevel"/>
    <w:tmpl w:val="3E2EE4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6DCB4A39"/>
    <w:multiLevelType w:val="hybridMultilevel"/>
    <w:tmpl w:val="52481F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C87E76"/>
    <w:multiLevelType w:val="hybridMultilevel"/>
    <w:tmpl w:val="85C8B936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9DE0519"/>
    <w:multiLevelType w:val="hybridMultilevel"/>
    <w:tmpl w:val="6F8E07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3"/>
  </w:num>
  <w:num w:numId="3">
    <w:abstractNumId w:val="10"/>
  </w:num>
  <w:num w:numId="4">
    <w:abstractNumId w:val="19"/>
  </w:num>
  <w:num w:numId="5">
    <w:abstractNumId w:val="3"/>
  </w:num>
  <w:num w:numId="6">
    <w:abstractNumId w:val="7"/>
  </w:num>
  <w:num w:numId="7">
    <w:abstractNumId w:val="1"/>
  </w:num>
  <w:num w:numId="8">
    <w:abstractNumId w:val="16"/>
  </w:num>
  <w:num w:numId="9">
    <w:abstractNumId w:val="21"/>
  </w:num>
  <w:num w:numId="10">
    <w:abstractNumId w:val="9"/>
  </w:num>
  <w:num w:numId="11">
    <w:abstractNumId w:val="28"/>
  </w:num>
  <w:num w:numId="12">
    <w:abstractNumId w:val="14"/>
  </w:num>
  <w:num w:numId="13">
    <w:abstractNumId w:val="27"/>
  </w:num>
  <w:num w:numId="14">
    <w:abstractNumId w:val="13"/>
  </w:num>
  <w:num w:numId="15">
    <w:abstractNumId w:val="25"/>
  </w:num>
  <w:num w:numId="16">
    <w:abstractNumId w:val="15"/>
  </w:num>
  <w:num w:numId="17">
    <w:abstractNumId w:val="12"/>
  </w:num>
  <w:num w:numId="18">
    <w:abstractNumId w:val="24"/>
  </w:num>
  <w:num w:numId="19">
    <w:abstractNumId w:val="11"/>
  </w:num>
  <w:num w:numId="20">
    <w:abstractNumId w:val="5"/>
  </w:num>
  <w:num w:numId="21">
    <w:abstractNumId w:val="0"/>
  </w:num>
  <w:num w:numId="22">
    <w:abstractNumId w:val="22"/>
  </w:num>
  <w:num w:numId="23">
    <w:abstractNumId w:val="2"/>
  </w:num>
  <w:num w:numId="24">
    <w:abstractNumId w:val="17"/>
  </w:num>
  <w:num w:numId="25">
    <w:abstractNumId w:val="26"/>
  </w:num>
  <w:num w:numId="26">
    <w:abstractNumId w:val="4"/>
  </w:num>
  <w:num w:numId="27">
    <w:abstractNumId w:val="6"/>
  </w:num>
  <w:num w:numId="28">
    <w:abstractNumId w:val="18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9FE5F76F-F8E7-421B-9568-4B1E78341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20"/>
      <w:jc w:val="both"/>
    </w:pPr>
    <w:rPr>
      <w:rFonts w:ascii="Arial" w:hAnsi="Arial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Arial" w:hAnsi="Arial"/>
      <w:sz w:val="20"/>
      <w:szCs w:val="20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pPr>
      <w:spacing w:before="120" w:line="240" w:lineRule="auto"/>
    </w:pPr>
    <w:rPr>
      <w:rFonts w:ascii="Arial Narrow" w:eastAsia="Times New Roman" w:hAnsi="Arial Narrow" w:cs="Times New Roman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Pr>
      <w:rFonts w:ascii="Arial Narrow" w:eastAsia="Times New Roman" w:hAnsi="Arial Narrow" w:cs="Times New Roman"/>
      <w:sz w:val="24"/>
      <w:szCs w:val="24"/>
      <w:lang w:eastAsia="fr-FR"/>
    </w:rPr>
  </w:style>
  <w:style w:type="paragraph" w:customStyle="1" w:styleId="western">
    <w:name w:val="western"/>
    <w:basedOn w:val="Normal"/>
    <w:pPr>
      <w:spacing w:before="100" w:beforeAutospacing="1" w:after="57"/>
      <w:ind w:left="680" w:hanging="57"/>
    </w:pPr>
    <w:rPr>
      <w:rFonts w:eastAsia="Times New Roman" w:cs="Arial"/>
      <w:szCs w:val="20"/>
      <w:lang w:eastAsia="fr-FR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rFonts w:ascii="Arial" w:hAnsi="Arial"/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Pr>
      <w:color w:val="0000FF" w:themeColor="hyperlink"/>
      <w:u w:val="single"/>
    </w:rPr>
  </w:style>
  <w:style w:type="paragraph" w:customStyle="1" w:styleId="1CarCarCar">
    <w:name w:val="1 Car Car Car"/>
    <w:basedOn w:val="Normal"/>
    <w:pPr>
      <w:widowControl w:val="0"/>
      <w:spacing w:after="0" w:line="240" w:lineRule="auto"/>
    </w:pPr>
    <w:rPr>
      <w:rFonts w:ascii="Tahoma" w:eastAsia="SimSun" w:hAnsi="Tahoma" w:cs="Times New Roman"/>
      <w:kern w:val="2"/>
      <w:sz w:val="24"/>
      <w:szCs w:val="20"/>
      <w:lang w:val="en-US" w:eastAsia="zh-CN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82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30BA98-E7B6-40E7-865D-773F8E7BC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Rosanna MAÎTRE</dc:creator>
  <cp:lastModifiedBy>OURKANE Chirine</cp:lastModifiedBy>
  <cp:revision>2</cp:revision>
  <cp:lastPrinted>2024-06-13T11:13:00Z</cp:lastPrinted>
  <dcterms:created xsi:type="dcterms:W3CDTF">2024-12-13T15:55:00Z</dcterms:created>
  <dcterms:modified xsi:type="dcterms:W3CDTF">2024-12-13T15:55:00Z</dcterms:modified>
</cp:coreProperties>
</file>